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commentsExtended.xml" ContentType="application/vnd.openxmlformats-officedocument.wordprocessingml.commentsExtended+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commentsExtensible.xml" ContentType="application/vnd.openxmlformats-officedocument.wordprocessingml.commentsExtensi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4F960" w14:textId="77777777" w:rsidR="001F0010" w:rsidRPr="006C3108" w:rsidRDefault="001F0010" w:rsidP="001F0010">
      <w:pPr>
        <w:ind w:left="1440" w:hanging="1440"/>
        <w:rPr>
          <w:rFonts w:ascii="Arial Bold" w:hAnsi="Arial Bold" w:cs="Arial"/>
          <w:b/>
          <w:caps/>
          <w:sz w:val="28"/>
          <w:szCs w:val="28"/>
        </w:rPr>
      </w:pPr>
      <w:r>
        <w:rPr>
          <w:rFonts w:cs="Arial"/>
          <w:b/>
          <w:sz w:val="28"/>
          <w:szCs w:val="28"/>
        </w:rPr>
        <w:t>AP 4025</w:t>
      </w:r>
      <w:r w:rsidRPr="006C3108">
        <w:rPr>
          <w:rFonts w:cs="Arial"/>
          <w:b/>
          <w:sz w:val="28"/>
          <w:szCs w:val="28"/>
        </w:rPr>
        <w:tab/>
      </w:r>
      <w:r>
        <w:rPr>
          <w:rFonts w:ascii="Arial Bold" w:hAnsi="Arial Bold" w:cs="Arial"/>
          <w:b/>
          <w:caps/>
          <w:sz w:val="28"/>
          <w:szCs w:val="28"/>
        </w:rPr>
        <w:t xml:space="preserve">PHILOSOPHY AND CRITERIA FOR ASSOCIATE DEGREE AND GENERAL EDUCATION </w:t>
      </w:r>
      <w:r w:rsidRPr="00905B29">
        <w:rPr>
          <w:rFonts w:ascii="Arial Bold" w:hAnsi="Arial Bold" w:cs="Arial"/>
          <w:b/>
          <w:caps/>
          <w:sz w:val="28"/>
          <w:szCs w:val="28"/>
          <w:highlight w:val="yellow"/>
        </w:rPr>
        <w:t>(NEW)</w:t>
      </w:r>
    </w:p>
    <w:p w14:paraId="7B3FB801" w14:textId="77777777" w:rsidR="001F0010" w:rsidRDefault="001F0010" w:rsidP="001F0010">
      <w:pPr>
        <w:jc w:val="both"/>
        <w:rPr>
          <w:rFonts w:cs="Arial"/>
          <w:sz w:val="24"/>
          <w:szCs w:val="24"/>
        </w:rPr>
      </w:pPr>
    </w:p>
    <w:p w14:paraId="5683004A" w14:textId="77777777" w:rsidR="001F0010" w:rsidRPr="0079366A" w:rsidRDefault="001F0010" w:rsidP="001F0010">
      <w:pPr>
        <w:jc w:val="both"/>
        <w:rPr>
          <w:rFonts w:cs="Arial"/>
          <w:b/>
          <w:color w:val="FF0000"/>
          <w:sz w:val="24"/>
          <w:szCs w:val="24"/>
          <w:u w:val="single"/>
        </w:rPr>
      </w:pPr>
      <w:r w:rsidRPr="0079366A">
        <w:rPr>
          <w:rFonts w:cs="Arial"/>
          <w:b/>
          <w:color w:val="FF0000"/>
          <w:sz w:val="24"/>
          <w:szCs w:val="24"/>
          <w:u w:val="single"/>
        </w:rPr>
        <w:t>References:</w:t>
      </w:r>
    </w:p>
    <w:p w14:paraId="7AAEEF85" w14:textId="6096896A" w:rsidR="001F0010" w:rsidRPr="0079366A" w:rsidRDefault="001F0010" w:rsidP="001F0010">
      <w:pPr>
        <w:ind w:left="720"/>
        <w:jc w:val="both"/>
        <w:rPr>
          <w:color w:val="FF0000"/>
          <w:sz w:val="24"/>
          <w:szCs w:val="24"/>
          <w:u w:val="single"/>
        </w:rPr>
      </w:pPr>
      <w:r w:rsidRPr="0079366A">
        <w:rPr>
          <w:color w:val="FF0000"/>
          <w:sz w:val="24"/>
          <w:szCs w:val="24"/>
          <w:u w:val="single"/>
        </w:rPr>
        <w:t>Title 5 Section 55061</w:t>
      </w:r>
      <w:r w:rsidR="003876B9">
        <w:rPr>
          <w:color w:val="FF0000"/>
          <w:sz w:val="24"/>
          <w:szCs w:val="24"/>
          <w:u w:val="single"/>
        </w:rPr>
        <w:t xml:space="preserve"> </w:t>
      </w:r>
      <w:commentRangeStart w:id="0"/>
      <w:r w:rsidR="003876B9" w:rsidRPr="003876B9">
        <w:rPr>
          <w:sz w:val="24"/>
          <w:szCs w:val="24"/>
        </w:rPr>
        <w:t>and 55063</w:t>
      </w:r>
      <w:commentRangeEnd w:id="0"/>
      <w:r w:rsidR="003876B9">
        <w:rPr>
          <w:rStyle w:val="CommentReference"/>
        </w:rPr>
        <w:commentReference w:id="0"/>
      </w:r>
      <w:r w:rsidRPr="0079366A">
        <w:rPr>
          <w:color w:val="FF0000"/>
          <w:sz w:val="24"/>
          <w:szCs w:val="24"/>
          <w:u w:val="single"/>
        </w:rPr>
        <w:t>;</w:t>
      </w:r>
    </w:p>
    <w:p w14:paraId="2427BCF3" w14:textId="77777777" w:rsidR="001F0010" w:rsidRPr="003B5182" w:rsidRDefault="001F0010" w:rsidP="001F0010">
      <w:pPr>
        <w:ind w:left="720"/>
        <w:jc w:val="both"/>
        <w:rPr>
          <w:sz w:val="24"/>
          <w:szCs w:val="24"/>
        </w:rPr>
      </w:pPr>
      <w:r w:rsidRPr="001F0010">
        <w:rPr>
          <w:sz w:val="24"/>
          <w:szCs w:val="24"/>
        </w:rPr>
        <w:t xml:space="preserve">ACCJC Eligibility Requirement </w:t>
      </w:r>
      <w:proofErr w:type="gramStart"/>
      <w:r w:rsidRPr="001F0010">
        <w:rPr>
          <w:sz w:val="24"/>
          <w:szCs w:val="24"/>
        </w:rPr>
        <w:t>12;</w:t>
      </w:r>
      <w:proofErr w:type="gramEnd"/>
    </w:p>
    <w:p w14:paraId="23888507" w14:textId="77777777" w:rsidR="001F0010" w:rsidRPr="0079366A" w:rsidRDefault="001F0010" w:rsidP="001F0010">
      <w:pPr>
        <w:ind w:left="720"/>
        <w:jc w:val="both"/>
        <w:rPr>
          <w:sz w:val="24"/>
          <w:szCs w:val="24"/>
        </w:rPr>
      </w:pPr>
      <w:r w:rsidRPr="0079366A">
        <w:rPr>
          <w:color w:val="FF0000"/>
          <w:sz w:val="24"/>
          <w:szCs w:val="24"/>
          <w:u w:val="single"/>
        </w:rPr>
        <w:t>ACC</w:t>
      </w:r>
      <w:r>
        <w:rPr>
          <w:color w:val="FF0000"/>
          <w:sz w:val="24"/>
          <w:szCs w:val="24"/>
          <w:u w:val="single"/>
        </w:rPr>
        <w:t>JC Accreditation Standard II.A</w:t>
      </w:r>
    </w:p>
    <w:p w14:paraId="476433B6" w14:textId="77777777" w:rsidR="001F0010" w:rsidRPr="0079366A" w:rsidRDefault="001F0010" w:rsidP="001F0010">
      <w:pPr>
        <w:pStyle w:val="BodyText2"/>
        <w:spacing w:after="0" w:line="240" w:lineRule="auto"/>
        <w:jc w:val="both"/>
        <w:rPr>
          <w:rFonts w:ascii="Arial" w:hAnsi="Arial" w:cs="Arial"/>
          <w:color w:val="FF0000"/>
        </w:rPr>
      </w:pPr>
    </w:p>
    <w:p w14:paraId="6A20A29C" w14:textId="77777777" w:rsidR="001F0010" w:rsidRPr="0079366A" w:rsidRDefault="001F0010" w:rsidP="001F0010">
      <w:pPr>
        <w:pStyle w:val="BodyText2"/>
        <w:spacing w:after="0" w:line="240" w:lineRule="auto"/>
        <w:jc w:val="both"/>
        <w:rPr>
          <w:rFonts w:ascii="Arial" w:hAnsi="Arial" w:cs="Arial"/>
          <w:color w:val="FF0000"/>
        </w:rPr>
      </w:pPr>
    </w:p>
    <w:p w14:paraId="22918695" w14:textId="77777777" w:rsidR="001F0010" w:rsidRPr="0079366A" w:rsidRDefault="001F0010" w:rsidP="001F0010">
      <w:pPr>
        <w:pStyle w:val="BodyText"/>
        <w:spacing w:after="0"/>
        <w:jc w:val="both"/>
        <w:rPr>
          <w:color w:val="FF0000"/>
        </w:rPr>
      </w:pPr>
    </w:p>
    <w:p w14:paraId="43E4BAA0" w14:textId="77777777" w:rsidR="001F0010" w:rsidRPr="001F0010" w:rsidRDefault="001F0010" w:rsidP="001F0010">
      <w:pPr>
        <w:pBdr>
          <w:top w:val="nil"/>
          <w:left w:val="nil"/>
          <w:bottom w:val="nil"/>
          <w:right w:val="nil"/>
          <w:between w:val="nil"/>
        </w:pBdr>
        <w:jc w:val="both"/>
        <w:rPr>
          <w:rFonts w:eastAsia="Calibri" w:cs="Arial"/>
          <w:b/>
          <w:bCs/>
          <w:sz w:val="24"/>
          <w:szCs w:val="24"/>
        </w:rPr>
      </w:pPr>
      <w:r w:rsidRPr="001F0010">
        <w:rPr>
          <w:rFonts w:eastAsia="Calibri" w:cs="Arial"/>
          <w:b/>
          <w:bCs/>
          <w:sz w:val="24"/>
          <w:szCs w:val="24"/>
        </w:rPr>
        <w:t>I.</w:t>
      </w:r>
      <w:r w:rsidRPr="001F0010">
        <w:rPr>
          <w:rFonts w:ascii="Calibri" w:eastAsia="Calibri" w:hAnsi="Calibri" w:cs="Calibri"/>
          <w:b/>
          <w:bCs/>
          <w:sz w:val="24"/>
          <w:szCs w:val="24"/>
        </w:rPr>
        <w:t xml:space="preserve"> </w:t>
      </w:r>
      <w:r w:rsidRPr="001F0010">
        <w:rPr>
          <w:rFonts w:eastAsia="Calibri" w:cs="Arial"/>
          <w:b/>
          <w:bCs/>
          <w:sz w:val="24"/>
          <w:szCs w:val="24"/>
        </w:rPr>
        <w:t>The Associate Degree</w:t>
      </w:r>
    </w:p>
    <w:p w14:paraId="38D86FD1" w14:textId="77777777" w:rsidR="001F0010" w:rsidRPr="001F0010" w:rsidRDefault="001F0010" w:rsidP="001F0010">
      <w:pPr>
        <w:pBdr>
          <w:top w:val="nil"/>
          <w:left w:val="nil"/>
          <w:bottom w:val="nil"/>
          <w:right w:val="nil"/>
          <w:between w:val="nil"/>
        </w:pBdr>
        <w:jc w:val="both"/>
        <w:rPr>
          <w:rFonts w:eastAsia="Calibri" w:cs="Arial"/>
          <w:sz w:val="24"/>
          <w:szCs w:val="24"/>
        </w:rPr>
      </w:pPr>
    </w:p>
    <w:p w14:paraId="6246856F" w14:textId="77777777" w:rsidR="001F0010" w:rsidRPr="001F0010" w:rsidRDefault="001F0010" w:rsidP="001F0010">
      <w:pPr>
        <w:spacing w:after="120"/>
        <w:jc w:val="both"/>
        <w:rPr>
          <w:rFonts w:eastAsia="Calibri" w:cs="Arial"/>
          <w:sz w:val="24"/>
          <w:szCs w:val="24"/>
        </w:rPr>
      </w:pPr>
      <w:r w:rsidRPr="001F0010">
        <w:rPr>
          <w:rFonts w:eastAsia="Calibri" w:cs="Arial"/>
          <w:sz w:val="24"/>
          <w:szCs w:val="24"/>
        </w:rPr>
        <w:t xml:space="preserve">Napa Valley College (NVC) awards the Associate of Arts (AA), Associate of Science (AS), and Associate Degree for Transfer (AA-T or AS-T) consistent with the standards set forth in Title 5 section 55063 of the California Code of Regulations under the authority of the Board of Trustees. At NVC, an associate degree documents students’ educational achievement and provides them with a foundation for future learning. The associate degree </w:t>
      </w:r>
      <w:commentRangeStart w:id="1"/>
      <w:r w:rsidRPr="001F0010">
        <w:rPr>
          <w:rFonts w:eastAsia="Calibri" w:cs="Arial"/>
          <w:sz w:val="24"/>
          <w:szCs w:val="24"/>
        </w:rPr>
        <w:t xml:space="preserve">symbolizes a successful attempt to lead students through patterns of learning experiences designed to develop certain capabilities and insight, including: </w:t>
      </w:r>
    </w:p>
    <w:p w14:paraId="4679CB5D" w14:textId="77777777" w:rsidR="001F0010" w:rsidRPr="001F0010" w:rsidRDefault="001F0010" w:rsidP="001F0010">
      <w:pPr>
        <w:numPr>
          <w:ilvl w:val="0"/>
          <w:numId w:val="2"/>
        </w:numPr>
        <w:jc w:val="both"/>
        <w:rPr>
          <w:rFonts w:eastAsia="Calibri" w:cs="Arial"/>
          <w:sz w:val="24"/>
          <w:szCs w:val="24"/>
        </w:rPr>
      </w:pPr>
      <w:r w:rsidRPr="001F0010">
        <w:rPr>
          <w:rFonts w:eastAsia="Calibri" w:cs="Arial"/>
          <w:sz w:val="24"/>
          <w:szCs w:val="24"/>
        </w:rPr>
        <w:t xml:space="preserve">the ability to think and communicate clearly and effectively orally and in </w:t>
      </w:r>
      <w:proofErr w:type="gramStart"/>
      <w:r w:rsidRPr="001F0010">
        <w:rPr>
          <w:rFonts w:eastAsia="Calibri" w:cs="Arial"/>
          <w:sz w:val="24"/>
          <w:szCs w:val="24"/>
        </w:rPr>
        <w:t>writing;</w:t>
      </w:r>
      <w:proofErr w:type="gramEnd"/>
    </w:p>
    <w:p w14:paraId="497B9909" w14:textId="77777777" w:rsidR="001F0010" w:rsidRPr="001F0010" w:rsidRDefault="001F0010" w:rsidP="001F0010">
      <w:pPr>
        <w:numPr>
          <w:ilvl w:val="0"/>
          <w:numId w:val="2"/>
        </w:numPr>
        <w:jc w:val="both"/>
        <w:rPr>
          <w:rFonts w:eastAsia="Calibri" w:cs="Arial"/>
          <w:sz w:val="24"/>
          <w:szCs w:val="24"/>
        </w:rPr>
      </w:pPr>
      <w:r w:rsidRPr="001F0010">
        <w:rPr>
          <w:rFonts w:eastAsia="Calibri" w:cs="Arial"/>
          <w:sz w:val="24"/>
          <w:szCs w:val="24"/>
        </w:rPr>
        <w:t xml:space="preserve">use </w:t>
      </w:r>
      <w:proofErr w:type="gramStart"/>
      <w:r w:rsidRPr="001F0010">
        <w:rPr>
          <w:rFonts w:eastAsia="Calibri" w:cs="Arial"/>
          <w:sz w:val="24"/>
          <w:szCs w:val="24"/>
        </w:rPr>
        <w:t>mathematics;</w:t>
      </w:r>
      <w:proofErr w:type="gramEnd"/>
    </w:p>
    <w:p w14:paraId="25AAB77A" w14:textId="77777777" w:rsidR="001F0010" w:rsidRPr="001F0010" w:rsidRDefault="001F0010" w:rsidP="001F0010">
      <w:pPr>
        <w:numPr>
          <w:ilvl w:val="0"/>
          <w:numId w:val="2"/>
        </w:numPr>
        <w:jc w:val="both"/>
        <w:rPr>
          <w:rFonts w:eastAsia="Calibri" w:cs="Arial"/>
          <w:sz w:val="24"/>
          <w:szCs w:val="24"/>
        </w:rPr>
      </w:pPr>
      <w:r w:rsidRPr="001F0010">
        <w:rPr>
          <w:rFonts w:eastAsia="Calibri" w:cs="Arial"/>
          <w:sz w:val="24"/>
          <w:szCs w:val="24"/>
        </w:rPr>
        <w:t xml:space="preserve">understand the modes of inquiry of the major </w:t>
      </w:r>
      <w:proofErr w:type="gramStart"/>
      <w:r w:rsidRPr="001F0010">
        <w:rPr>
          <w:rFonts w:eastAsia="Calibri" w:cs="Arial"/>
          <w:sz w:val="24"/>
          <w:szCs w:val="24"/>
        </w:rPr>
        <w:t>disciplines;</w:t>
      </w:r>
      <w:proofErr w:type="gramEnd"/>
    </w:p>
    <w:p w14:paraId="214D888E" w14:textId="77777777" w:rsidR="001F0010" w:rsidRPr="001F0010" w:rsidRDefault="001F0010" w:rsidP="001F0010">
      <w:pPr>
        <w:numPr>
          <w:ilvl w:val="0"/>
          <w:numId w:val="2"/>
        </w:numPr>
        <w:jc w:val="both"/>
        <w:rPr>
          <w:rFonts w:eastAsia="Calibri" w:cs="Arial"/>
          <w:sz w:val="24"/>
          <w:szCs w:val="24"/>
        </w:rPr>
      </w:pPr>
      <w:r w:rsidRPr="001F0010">
        <w:rPr>
          <w:rFonts w:eastAsia="Calibri" w:cs="Arial"/>
          <w:sz w:val="24"/>
          <w:szCs w:val="24"/>
        </w:rPr>
        <w:t xml:space="preserve">be aware of other cultures and </w:t>
      </w:r>
      <w:proofErr w:type="gramStart"/>
      <w:r w:rsidRPr="001F0010">
        <w:rPr>
          <w:rFonts w:eastAsia="Calibri" w:cs="Arial"/>
          <w:sz w:val="24"/>
          <w:szCs w:val="24"/>
        </w:rPr>
        <w:t>times;</w:t>
      </w:r>
      <w:proofErr w:type="gramEnd"/>
    </w:p>
    <w:p w14:paraId="367C8322" w14:textId="77777777" w:rsidR="001F0010" w:rsidRPr="001F0010" w:rsidRDefault="001F0010" w:rsidP="001F0010">
      <w:pPr>
        <w:numPr>
          <w:ilvl w:val="0"/>
          <w:numId w:val="2"/>
        </w:numPr>
        <w:jc w:val="both"/>
        <w:rPr>
          <w:rFonts w:eastAsia="Calibri" w:cs="Arial"/>
          <w:sz w:val="24"/>
          <w:szCs w:val="24"/>
        </w:rPr>
      </w:pPr>
      <w:r w:rsidRPr="001F0010">
        <w:rPr>
          <w:rFonts w:eastAsia="Calibri" w:cs="Arial"/>
          <w:sz w:val="24"/>
          <w:szCs w:val="24"/>
        </w:rPr>
        <w:t>achieve insights gained through experience in thinking about ethical problems; and</w:t>
      </w:r>
    </w:p>
    <w:p w14:paraId="61BF7722" w14:textId="77777777" w:rsidR="001F0010" w:rsidRPr="001F0010" w:rsidRDefault="001F0010" w:rsidP="001F0010">
      <w:pPr>
        <w:numPr>
          <w:ilvl w:val="0"/>
          <w:numId w:val="2"/>
        </w:numPr>
        <w:jc w:val="both"/>
        <w:rPr>
          <w:rFonts w:eastAsia="Calibri" w:cs="Arial"/>
          <w:sz w:val="24"/>
          <w:szCs w:val="24"/>
        </w:rPr>
      </w:pPr>
      <w:r w:rsidRPr="001F0010">
        <w:rPr>
          <w:rFonts w:eastAsia="Calibri" w:cs="Arial"/>
          <w:sz w:val="24"/>
          <w:szCs w:val="24"/>
        </w:rPr>
        <w:t>to develop the capacity for self-understanding.</w:t>
      </w:r>
      <w:commentRangeEnd w:id="1"/>
      <w:r w:rsidR="005A44D7">
        <w:rPr>
          <w:rStyle w:val="CommentReference"/>
        </w:rPr>
        <w:commentReference w:id="1"/>
      </w:r>
    </w:p>
    <w:p w14:paraId="094A2DA5" w14:textId="77777777" w:rsidR="001F0010" w:rsidRPr="001F0010" w:rsidRDefault="001F0010" w:rsidP="001F0010">
      <w:pPr>
        <w:spacing w:before="280" w:after="280"/>
        <w:jc w:val="both"/>
        <w:rPr>
          <w:rFonts w:eastAsia="Calibri" w:cs="Arial"/>
          <w:sz w:val="24"/>
          <w:szCs w:val="24"/>
        </w:rPr>
      </w:pPr>
      <w:r w:rsidRPr="001F0010">
        <w:rPr>
          <w:rFonts w:eastAsia="Calibri" w:cs="Arial"/>
          <w:sz w:val="24"/>
          <w:szCs w:val="24"/>
        </w:rPr>
        <w:t>An associate degree at Napa Valley College consists of two main elements:</w:t>
      </w:r>
    </w:p>
    <w:p w14:paraId="7DC5C1B1" w14:textId="77777777" w:rsidR="001F0010" w:rsidRPr="001F0010" w:rsidRDefault="001F0010" w:rsidP="001F0010">
      <w:pPr>
        <w:numPr>
          <w:ilvl w:val="0"/>
          <w:numId w:val="1"/>
        </w:numPr>
        <w:spacing w:before="280"/>
        <w:jc w:val="both"/>
        <w:rPr>
          <w:rFonts w:eastAsia="Calibri" w:cs="Arial"/>
          <w:sz w:val="24"/>
          <w:szCs w:val="24"/>
        </w:rPr>
      </w:pPr>
      <w:r w:rsidRPr="001F0010">
        <w:rPr>
          <w:rFonts w:eastAsia="Calibri" w:cs="Arial"/>
          <w:sz w:val="24"/>
          <w:szCs w:val="24"/>
        </w:rPr>
        <w:t>General education, which gives students a broad base of knowledge and</w:t>
      </w:r>
    </w:p>
    <w:p w14:paraId="26A4B0B1" w14:textId="77777777" w:rsidR="001F0010" w:rsidRPr="001F0010" w:rsidRDefault="001F0010" w:rsidP="001F0010">
      <w:pPr>
        <w:numPr>
          <w:ilvl w:val="0"/>
          <w:numId w:val="1"/>
        </w:numPr>
        <w:spacing w:after="280"/>
        <w:jc w:val="both"/>
        <w:rPr>
          <w:rFonts w:eastAsia="Calibri" w:cs="Arial"/>
          <w:sz w:val="24"/>
          <w:szCs w:val="24"/>
        </w:rPr>
      </w:pPr>
      <w:r w:rsidRPr="001F0010">
        <w:rPr>
          <w:rFonts w:eastAsia="Calibri" w:cs="Arial"/>
          <w:sz w:val="24"/>
          <w:szCs w:val="24"/>
        </w:rPr>
        <w:t>An academic program, in which a student specializes in a particular field of study. Depending on the academic program selected, the student will be awarded an Associate of Arts (A.A.), Associate of Science (A.S.) Degree, or Associate Degree for Transfer (AA-T or AS-T)</w:t>
      </w:r>
    </w:p>
    <w:p w14:paraId="171B46DA" w14:textId="77777777" w:rsidR="001F0010" w:rsidRPr="001F0010" w:rsidRDefault="001F0010" w:rsidP="001F0010">
      <w:pPr>
        <w:spacing w:before="240" w:after="240"/>
        <w:jc w:val="both"/>
        <w:rPr>
          <w:rFonts w:eastAsia="Calibri" w:cs="Arial"/>
          <w:sz w:val="24"/>
          <w:szCs w:val="24"/>
        </w:rPr>
      </w:pPr>
      <w:commentRangeStart w:id="2"/>
      <w:r w:rsidRPr="001F0010">
        <w:rPr>
          <w:rFonts w:eastAsia="Calibri" w:cs="Arial"/>
          <w:sz w:val="24"/>
          <w:szCs w:val="24"/>
        </w:rPr>
        <w:t xml:space="preserve">At NVC, the A.S. degree is typically earned in the fields of Science, Technology, Engineering or Mathematics, or in career technical programs (as defined in the California Community Colleges Taxonomy of Programs). The A.A. Degree is typically earned for all other academic areas. </w:t>
      </w:r>
      <w:commentRangeEnd w:id="2"/>
      <w:r w:rsidR="00417C88">
        <w:rPr>
          <w:rStyle w:val="CommentReference"/>
        </w:rPr>
        <w:commentReference w:id="2"/>
      </w:r>
      <w:r w:rsidRPr="001F0010">
        <w:rPr>
          <w:rFonts w:eastAsia="Calibri" w:cs="Arial"/>
          <w:sz w:val="24"/>
          <w:szCs w:val="24"/>
        </w:rPr>
        <w:t>The AA-T or AS-T is earned in programs designed for transfer preparation to specific majors in the California State University system. AA-T and AS-T degrees are aligned with transfer model curricula developed jointly by the Academic Senates and discipline faculty in the California Community College and California State University systems.</w:t>
      </w:r>
    </w:p>
    <w:p w14:paraId="0C79D6CA" w14:textId="77777777" w:rsidR="001F0010" w:rsidRPr="001F0010" w:rsidRDefault="001F0010" w:rsidP="001F0010">
      <w:pPr>
        <w:spacing w:before="280" w:after="280"/>
        <w:jc w:val="both"/>
        <w:rPr>
          <w:rFonts w:eastAsia="Calibri" w:cs="Arial"/>
          <w:sz w:val="24"/>
          <w:szCs w:val="24"/>
        </w:rPr>
      </w:pPr>
      <w:commentRangeStart w:id="3"/>
      <w:r w:rsidRPr="001F0010">
        <w:rPr>
          <w:rFonts w:eastAsia="Calibri" w:cs="Arial"/>
          <w:sz w:val="24"/>
          <w:szCs w:val="24"/>
        </w:rPr>
        <w:t xml:space="preserve">Napa Valley College ensures that all educational programs are consistent with the institutional mission and in alignment with the needs of the community through the </w:t>
      </w:r>
      <w:r w:rsidRPr="001F0010">
        <w:rPr>
          <w:rFonts w:eastAsia="Calibri" w:cs="Arial"/>
          <w:sz w:val="24"/>
          <w:szCs w:val="24"/>
        </w:rPr>
        <w:lastRenderedPageBreak/>
        <w:t>curriculum review and approval process, ongoing program review, and the regular review of the Napa Valley Community College District Educational Master Plan.</w:t>
      </w:r>
      <w:commentRangeEnd w:id="3"/>
      <w:r w:rsidR="00A041B8">
        <w:rPr>
          <w:rStyle w:val="CommentReference"/>
        </w:rPr>
        <w:commentReference w:id="3"/>
      </w:r>
    </w:p>
    <w:p w14:paraId="3931C2B3" w14:textId="77777777" w:rsidR="001F0010" w:rsidRPr="001F0010" w:rsidRDefault="001F0010" w:rsidP="001F0010">
      <w:pPr>
        <w:spacing w:before="280" w:after="280"/>
        <w:jc w:val="both"/>
        <w:rPr>
          <w:rFonts w:eastAsia="Calibri" w:cs="Arial"/>
          <w:b/>
          <w:bCs/>
          <w:sz w:val="24"/>
          <w:szCs w:val="24"/>
        </w:rPr>
      </w:pPr>
      <w:r w:rsidRPr="001F0010">
        <w:rPr>
          <w:rFonts w:eastAsia="Calibri" w:cs="Arial"/>
          <w:b/>
          <w:bCs/>
          <w:sz w:val="24"/>
          <w:szCs w:val="24"/>
        </w:rPr>
        <w:t>II. Statement of General Education Philosophy</w:t>
      </w:r>
    </w:p>
    <w:p w14:paraId="45071329" w14:textId="77777777" w:rsidR="001F0010" w:rsidRPr="001F0010" w:rsidRDefault="001F0010" w:rsidP="001F0010">
      <w:pPr>
        <w:jc w:val="both"/>
        <w:rPr>
          <w:rFonts w:eastAsia="Calibri" w:cs="Arial"/>
          <w:sz w:val="24"/>
          <w:szCs w:val="24"/>
        </w:rPr>
      </w:pPr>
      <w:commentRangeStart w:id="4"/>
      <w:r w:rsidRPr="001F0010">
        <w:rPr>
          <w:rFonts w:eastAsia="Calibri" w:cs="Arial"/>
          <w:sz w:val="24"/>
          <w:szCs w:val="24"/>
        </w:rPr>
        <w:t>General education is the foundation of the Associate Degree. General education is an integrated program of learning designed to introduce students to the variety of means through which people comprehend the modern world in courses that introduce students to the achievements, the methods of inquiry, and the major principles and concepts in the humanities, the social sciences, mathematics, and the natural sciences. General education provides an opportunity for students to develop intellectual skills, information technology facility, affective and creative capabilities, social attitudes, and an appreciation for cultural diversity. Graduates possess a common foundation of knowledge for understanding their physical environment, culture and society and the skills of inquiry, reflection, and expression for personal growth and lifelong learning.</w:t>
      </w:r>
      <w:commentRangeEnd w:id="4"/>
      <w:r w:rsidR="008F4ED0">
        <w:rPr>
          <w:rStyle w:val="CommentReference"/>
        </w:rPr>
        <w:commentReference w:id="4"/>
      </w:r>
    </w:p>
    <w:p w14:paraId="3B76E655" w14:textId="77777777" w:rsidR="001F0010" w:rsidRPr="001F0010" w:rsidRDefault="001F0010" w:rsidP="001F0010">
      <w:pPr>
        <w:spacing w:before="280" w:after="280"/>
        <w:jc w:val="both"/>
        <w:rPr>
          <w:rFonts w:eastAsia="Calibri" w:cs="Arial"/>
          <w:sz w:val="24"/>
          <w:szCs w:val="24"/>
        </w:rPr>
      </w:pPr>
      <w:r w:rsidRPr="001F0010">
        <w:rPr>
          <w:rFonts w:eastAsia="Calibri" w:cs="Arial"/>
          <w:sz w:val="24"/>
          <w:szCs w:val="24"/>
        </w:rPr>
        <w:t>At Napa Valley College, general education is defined in the following categories, consistent with the requirements in Title 5 and accepted standards in higher education which indicate a minimum of 18 units in Areas A-D.</w:t>
      </w:r>
    </w:p>
    <w:p w14:paraId="5B6F2DEF" w14:textId="77777777" w:rsidR="001F0010" w:rsidRPr="001F0010" w:rsidRDefault="001F0010" w:rsidP="001F0010">
      <w:pPr>
        <w:spacing w:before="280" w:after="280"/>
        <w:jc w:val="both"/>
        <w:rPr>
          <w:rFonts w:eastAsia="Calibri" w:cs="Arial"/>
          <w:sz w:val="24"/>
          <w:szCs w:val="24"/>
        </w:rPr>
      </w:pPr>
      <w:commentRangeStart w:id="5"/>
      <w:r w:rsidRPr="001F0010">
        <w:rPr>
          <w:rFonts w:eastAsia="Calibri" w:cs="Arial"/>
          <w:sz w:val="24"/>
          <w:szCs w:val="24"/>
        </w:rPr>
        <w:t xml:space="preserve">A. </w:t>
      </w:r>
      <w:r w:rsidRPr="001F0010">
        <w:rPr>
          <w:rFonts w:eastAsia="Calibri" w:cs="Arial"/>
          <w:b/>
          <w:sz w:val="24"/>
          <w:szCs w:val="24"/>
        </w:rPr>
        <w:t>Natural Science</w:t>
      </w:r>
    </w:p>
    <w:p w14:paraId="5342089C" w14:textId="77777777" w:rsidR="001F0010" w:rsidRPr="001F0010" w:rsidRDefault="001F0010" w:rsidP="001F0010">
      <w:pPr>
        <w:spacing w:before="280" w:after="280"/>
        <w:jc w:val="both"/>
        <w:rPr>
          <w:rFonts w:eastAsia="Calibri" w:cs="Arial"/>
          <w:sz w:val="24"/>
          <w:szCs w:val="24"/>
        </w:rPr>
      </w:pPr>
      <w:r w:rsidRPr="001F0010">
        <w:rPr>
          <w:rFonts w:eastAsia="Calibri" w:cs="Arial"/>
          <w:sz w:val="24"/>
          <w:szCs w:val="24"/>
        </w:rPr>
        <w:t xml:space="preserve">Courses in the natural sciences are those that examine the physical universe, its life forms, and its natural phenomena. These courses will help the student develop an appreciation and understanding of the scientific method </w:t>
      </w:r>
      <w:proofErr w:type="gramStart"/>
      <w:r w:rsidRPr="001F0010">
        <w:rPr>
          <w:rFonts w:eastAsia="Calibri" w:cs="Arial"/>
          <w:sz w:val="24"/>
          <w:szCs w:val="24"/>
        </w:rPr>
        <w:t>and also</w:t>
      </w:r>
      <w:proofErr w:type="gramEnd"/>
      <w:r w:rsidRPr="001F0010">
        <w:rPr>
          <w:rFonts w:eastAsia="Calibri" w:cs="Arial"/>
          <w:sz w:val="24"/>
          <w:szCs w:val="24"/>
        </w:rPr>
        <w:t xml:space="preserve"> impart to the student an understanding of the relationships between science and the world around them. This category will include introductory or integrative courses in astronomy, biology, chemistry, general physical science, geology, meteorology, oceanography, physical geography, biological anthropology, physics, and other scientific disciplines.</w:t>
      </w:r>
    </w:p>
    <w:p w14:paraId="275119E5" w14:textId="77777777" w:rsidR="001F0010" w:rsidRPr="001F0010" w:rsidRDefault="001F0010" w:rsidP="001F0010">
      <w:pPr>
        <w:spacing w:before="280" w:after="280"/>
        <w:jc w:val="both"/>
        <w:rPr>
          <w:rFonts w:eastAsia="Calibri" w:cs="Arial"/>
          <w:b/>
          <w:sz w:val="24"/>
          <w:szCs w:val="24"/>
        </w:rPr>
      </w:pPr>
      <w:r w:rsidRPr="001F0010">
        <w:rPr>
          <w:rFonts w:eastAsia="Calibri" w:cs="Arial"/>
          <w:sz w:val="24"/>
          <w:szCs w:val="24"/>
        </w:rPr>
        <w:t>B.</w:t>
      </w:r>
      <w:r w:rsidRPr="001F0010">
        <w:rPr>
          <w:rFonts w:eastAsia="Calibri" w:cs="Arial"/>
          <w:b/>
          <w:sz w:val="24"/>
          <w:szCs w:val="24"/>
        </w:rPr>
        <w:t xml:space="preserve"> Social and Behavioral Sciences</w:t>
      </w:r>
    </w:p>
    <w:p w14:paraId="6D5B3C22" w14:textId="77777777" w:rsidR="001F0010" w:rsidRPr="001F0010" w:rsidRDefault="001F0010" w:rsidP="001F0010">
      <w:pPr>
        <w:spacing w:before="280" w:after="280"/>
        <w:jc w:val="both"/>
        <w:rPr>
          <w:rFonts w:eastAsia="Calibri" w:cs="Arial"/>
          <w:sz w:val="24"/>
          <w:szCs w:val="24"/>
        </w:rPr>
      </w:pPr>
      <w:r w:rsidRPr="001F0010">
        <w:rPr>
          <w:rFonts w:eastAsia="Calibri" w:cs="Arial"/>
          <w:sz w:val="24"/>
          <w:szCs w:val="24"/>
        </w:rPr>
        <w:t>Courses in the social and behavioral sciences are those that focus on people as members of society. These courses will develop an awareness of the method of inquiry used by the social and behavioral sciences. It should stimulate critical thinking about the ways people act and have acted in response to their societies and should promote an appreciation of how societies and social subgroups operate. This category will include introductory or integrative courses in cultural anthropology, cultural geography, economics, history, political science, psychology, sociology, and related disciplines.</w:t>
      </w:r>
    </w:p>
    <w:p w14:paraId="601ECB4D" w14:textId="77777777" w:rsidR="001F0010" w:rsidRPr="001F0010" w:rsidRDefault="001F0010" w:rsidP="001F0010">
      <w:pPr>
        <w:spacing w:before="280" w:after="280"/>
        <w:jc w:val="both"/>
        <w:rPr>
          <w:rFonts w:eastAsia="Calibri" w:cs="Arial"/>
          <w:sz w:val="24"/>
          <w:szCs w:val="24"/>
        </w:rPr>
      </w:pPr>
      <w:r w:rsidRPr="001F0010">
        <w:rPr>
          <w:rFonts w:eastAsia="Calibri" w:cs="Arial"/>
          <w:sz w:val="24"/>
          <w:szCs w:val="24"/>
        </w:rPr>
        <w:t>C.</w:t>
      </w:r>
      <w:r w:rsidRPr="001F0010">
        <w:rPr>
          <w:rFonts w:eastAsia="Calibri" w:cs="Arial"/>
          <w:b/>
          <w:sz w:val="24"/>
          <w:szCs w:val="24"/>
        </w:rPr>
        <w:t xml:space="preserve"> Humanities</w:t>
      </w:r>
    </w:p>
    <w:p w14:paraId="186A38FE" w14:textId="77777777" w:rsidR="001F0010" w:rsidRPr="001F0010" w:rsidRDefault="001F0010" w:rsidP="001F0010">
      <w:pPr>
        <w:spacing w:before="280" w:after="280"/>
        <w:jc w:val="both"/>
        <w:rPr>
          <w:rFonts w:eastAsia="Calibri" w:cs="Arial"/>
          <w:sz w:val="24"/>
          <w:szCs w:val="24"/>
        </w:rPr>
      </w:pPr>
      <w:r w:rsidRPr="001F0010">
        <w:rPr>
          <w:rFonts w:eastAsia="Calibri" w:cs="Arial"/>
          <w:sz w:val="24"/>
          <w:szCs w:val="24"/>
        </w:rPr>
        <w:t xml:space="preserve">Courses in the humanities are those that study the cultural activities and artistic expressions of human beings. The courses will help the student develop an awareness of the ways in which people throughout the ages and in different cultures have responded to themselves and the world around them with artistic and cultural creation and help the </w:t>
      </w:r>
      <w:r w:rsidRPr="001F0010">
        <w:rPr>
          <w:rFonts w:eastAsia="Calibri" w:cs="Arial"/>
          <w:sz w:val="24"/>
          <w:szCs w:val="24"/>
        </w:rPr>
        <w:lastRenderedPageBreak/>
        <w:t>student develop aesthetic understanding and an ability to make value judgments. This category will include introductory or integrative courses in the arts, foreign languages, literature, philosophy, religion, and related disciplines.</w:t>
      </w:r>
    </w:p>
    <w:p w14:paraId="3E1930F4" w14:textId="77777777" w:rsidR="001F0010" w:rsidRPr="001F0010" w:rsidRDefault="001F0010" w:rsidP="001F0010">
      <w:pPr>
        <w:spacing w:before="280" w:after="280"/>
        <w:jc w:val="both"/>
        <w:rPr>
          <w:rFonts w:eastAsia="Calibri" w:cs="Arial"/>
          <w:sz w:val="24"/>
          <w:szCs w:val="24"/>
        </w:rPr>
      </w:pPr>
      <w:r w:rsidRPr="001F0010">
        <w:rPr>
          <w:rFonts w:eastAsia="Calibri" w:cs="Arial"/>
          <w:sz w:val="24"/>
          <w:szCs w:val="24"/>
        </w:rPr>
        <w:t>D.</w:t>
      </w:r>
      <w:r w:rsidRPr="001F0010">
        <w:rPr>
          <w:rFonts w:eastAsia="Calibri" w:cs="Arial"/>
          <w:b/>
          <w:sz w:val="24"/>
          <w:szCs w:val="24"/>
        </w:rPr>
        <w:t xml:space="preserve"> Language and Rationality</w:t>
      </w:r>
    </w:p>
    <w:p w14:paraId="6777E1D2" w14:textId="77777777" w:rsidR="001F0010" w:rsidRPr="001F0010" w:rsidRDefault="001F0010" w:rsidP="001F0010">
      <w:pPr>
        <w:spacing w:before="280" w:after="280"/>
        <w:jc w:val="both"/>
        <w:rPr>
          <w:rFonts w:eastAsia="Calibri" w:cs="Arial"/>
          <w:sz w:val="24"/>
          <w:szCs w:val="24"/>
        </w:rPr>
      </w:pPr>
      <w:r w:rsidRPr="001F0010">
        <w:rPr>
          <w:rFonts w:eastAsia="Calibri" w:cs="Arial"/>
          <w:sz w:val="24"/>
          <w:szCs w:val="24"/>
        </w:rPr>
        <w:t>Courses in language and rationality are those that develop the principles and applications of language, whether it be written, spoken or symbolic. These courses will explore language toward logical thought, clear and precise expression, and critical evaluation of communication. Three components of this area will be required.</w:t>
      </w:r>
    </w:p>
    <w:p w14:paraId="7D1F25AE" w14:textId="77777777" w:rsidR="001F0010" w:rsidRPr="001F0010" w:rsidRDefault="001F0010" w:rsidP="001F0010">
      <w:pPr>
        <w:spacing w:before="280" w:after="280"/>
        <w:ind w:left="720"/>
        <w:jc w:val="both"/>
        <w:rPr>
          <w:rFonts w:eastAsia="Calibri" w:cs="Arial"/>
          <w:sz w:val="24"/>
          <w:szCs w:val="24"/>
        </w:rPr>
      </w:pPr>
      <w:r w:rsidRPr="001F0010">
        <w:rPr>
          <w:rFonts w:eastAsia="Calibri" w:cs="Arial"/>
          <w:sz w:val="24"/>
          <w:szCs w:val="24"/>
        </w:rPr>
        <w:t>D1.</w:t>
      </w:r>
      <w:r w:rsidRPr="001F0010">
        <w:rPr>
          <w:rFonts w:eastAsia="Calibri" w:cs="Arial"/>
          <w:b/>
          <w:sz w:val="24"/>
          <w:szCs w:val="24"/>
        </w:rPr>
        <w:t xml:space="preserve"> English Composition</w:t>
      </w:r>
    </w:p>
    <w:p w14:paraId="2EF56FBC" w14:textId="77777777" w:rsidR="001F0010" w:rsidRPr="001F0010" w:rsidRDefault="001F0010" w:rsidP="001F0010">
      <w:pPr>
        <w:spacing w:before="280" w:after="280"/>
        <w:ind w:left="720"/>
        <w:jc w:val="both"/>
        <w:rPr>
          <w:rFonts w:eastAsia="Calibri" w:cs="Arial"/>
          <w:sz w:val="24"/>
          <w:szCs w:val="24"/>
        </w:rPr>
      </w:pPr>
      <w:r w:rsidRPr="001F0010">
        <w:rPr>
          <w:rFonts w:eastAsia="Calibri" w:cs="Arial"/>
          <w:sz w:val="24"/>
          <w:szCs w:val="24"/>
        </w:rPr>
        <w:t>Courses fulfilling the composition requirement will focus on written language. The course includes substantial instruction and practice in both expository and argumentative writing.</w:t>
      </w:r>
    </w:p>
    <w:p w14:paraId="18CC4BF4" w14:textId="77777777" w:rsidR="001F0010" w:rsidRPr="001F0010" w:rsidRDefault="001F0010" w:rsidP="001F0010">
      <w:pPr>
        <w:spacing w:before="280" w:after="280"/>
        <w:ind w:left="720"/>
        <w:jc w:val="both"/>
        <w:rPr>
          <w:rFonts w:eastAsia="Calibri" w:cs="Arial"/>
          <w:sz w:val="24"/>
          <w:szCs w:val="24"/>
        </w:rPr>
      </w:pPr>
      <w:r w:rsidRPr="001F0010">
        <w:rPr>
          <w:rFonts w:eastAsia="Calibri" w:cs="Arial"/>
          <w:sz w:val="24"/>
          <w:szCs w:val="24"/>
        </w:rPr>
        <w:t xml:space="preserve">D2. </w:t>
      </w:r>
      <w:r w:rsidRPr="001F0010">
        <w:rPr>
          <w:rFonts w:eastAsia="Calibri" w:cs="Arial"/>
          <w:b/>
          <w:sz w:val="24"/>
          <w:szCs w:val="24"/>
        </w:rPr>
        <w:t>Mathematical Concepts and Quantitative Reasoning</w:t>
      </w:r>
    </w:p>
    <w:p w14:paraId="708A7C25" w14:textId="77777777" w:rsidR="001F0010" w:rsidRPr="001F0010" w:rsidRDefault="001F0010" w:rsidP="001F0010">
      <w:pPr>
        <w:spacing w:before="280" w:after="280"/>
        <w:ind w:left="720"/>
        <w:jc w:val="both"/>
        <w:rPr>
          <w:rFonts w:eastAsia="Calibri" w:cs="Arial"/>
          <w:sz w:val="24"/>
          <w:szCs w:val="24"/>
        </w:rPr>
      </w:pPr>
      <w:r w:rsidRPr="001F0010">
        <w:rPr>
          <w:rFonts w:eastAsia="Calibri" w:cs="Arial"/>
          <w:sz w:val="24"/>
          <w:szCs w:val="24"/>
        </w:rPr>
        <w:t>Courses fulfilling the mathematical concepts and quantitative reasoning requirement will focus on symbolic language. The course will help a student successfully process information requiring quantitative analysis, calculation, and the ability to use and criticize quantitative arguments.</w:t>
      </w:r>
    </w:p>
    <w:p w14:paraId="0BC9939A" w14:textId="77777777" w:rsidR="001F0010" w:rsidRPr="001F0010" w:rsidRDefault="001F0010" w:rsidP="001F0010">
      <w:pPr>
        <w:spacing w:before="280" w:after="280"/>
        <w:ind w:left="720"/>
        <w:jc w:val="both"/>
        <w:rPr>
          <w:rFonts w:eastAsia="Calibri" w:cs="Arial"/>
          <w:sz w:val="24"/>
          <w:szCs w:val="24"/>
        </w:rPr>
      </w:pPr>
      <w:r w:rsidRPr="001F0010">
        <w:rPr>
          <w:rFonts w:eastAsia="Calibri" w:cs="Arial"/>
          <w:sz w:val="24"/>
          <w:szCs w:val="24"/>
        </w:rPr>
        <w:t>D3.</w:t>
      </w:r>
      <w:r w:rsidRPr="001F0010">
        <w:rPr>
          <w:rFonts w:eastAsia="Calibri" w:cs="Arial"/>
          <w:b/>
          <w:sz w:val="24"/>
          <w:szCs w:val="24"/>
        </w:rPr>
        <w:t xml:space="preserve"> Communication and Analytical Thinking</w:t>
      </w:r>
    </w:p>
    <w:p w14:paraId="4F302DAC" w14:textId="77777777" w:rsidR="001F0010" w:rsidRPr="001F0010" w:rsidRDefault="001F0010" w:rsidP="001F0010">
      <w:pPr>
        <w:spacing w:before="280" w:after="280"/>
        <w:ind w:left="720"/>
        <w:jc w:val="both"/>
        <w:rPr>
          <w:rFonts w:eastAsia="Calibri" w:cs="Arial"/>
          <w:sz w:val="24"/>
          <w:szCs w:val="24"/>
        </w:rPr>
      </w:pPr>
      <w:r w:rsidRPr="001F0010">
        <w:rPr>
          <w:rFonts w:eastAsia="Calibri" w:cs="Arial"/>
          <w:sz w:val="24"/>
          <w:szCs w:val="24"/>
        </w:rPr>
        <w:t xml:space="preserve">Courses fulfilling the communication and analytical thinking requirement will focus on spoken or symbolic language. Courses fulfilling the requirement include oral communication, mathematics, logic, computer languages and programming, and related disciplines. The course will help the student achieve an understanding of the relationship between language and logic, developing an ability to communicate ideas, analyze and solve problems, and identify the assumptions upon which </w:t>
      </w:r>
      <w:proofErr w:type="gramStart"/>
      <w:r w:rsidRPr="001F0010">
        <w:rPr>
          <w:rFonts w:eastAsia="Calibri" w:cs="Arial"/>
          <w:sz w:val="24"/>
          <w:szCs w:val="24"/>
        </w:rPr>
        <w:t>particular conclusions</w:t>
      </w:r>
      <w:proofErr w:type="gramEnd"/>
      <w:r w:rsidRPr="001F0010">
        <w:rPr>
          <w:rFonts w:eastAsia="Calibri" w:cs="Arial"/>
          <w:sz w:val="24"/>
          <w:szCs w:val="24"/>
        </w:rPr>
        <w:t xml:space="preserve"> depend.</w:t>
      </w:r>
      <w:commentRangeEnd w:id="5"/>
      <w:r w:rsidR="00EF33BD">
        <w:rPr>
          <w:rStyle w:val="CommentReference"/>
        </w:rPr>
        <w:commentReference w:id="5"/>
      </w:r>
    </w:p>
    <w:p w14:paraId="0654F834" w14:textId="77777777" w:rsidR="001F0010" w:rsidRPr="001F0010" w:rsidRDefault="001F0010" w:rsidP="001F0010">
      <w:pPr>
        <w:tabs>
          <w:tab w:val="left" w:pos="1640"/>
        </w:tabs>
        <w:jc w:val="both"/>
        <w:rPr>
          <w:rFonts w:eastAsia="Calibri" w:cs="Arial"/>
          <w:sz w:val="24"/>
          <w:szCs w:val="24"/>
        </w:rPr>
      </w:pPr>
      <w:commentRangeStart w:id="6"/>
      <w:r w:rsidRPr="001F0010">
        <w:rPr>
          <w:rFonts w:eastAsia="Calibri" w:cs="Arial"/>
          <w:sz w:val="24"/>
          <w:szCs w:val="24"/>
        </w:rPr>
        <w:t>In addition to the GE areas, an Ethnic Studies graduation requirement, as well as additional graduation requirements specific to NVC, must be fulfilled as defined in AP 4100.</w:t>
      </w:r>
      <w:commentRangeEnd w:id="6"/>
      <w:r w:rsidR="00104241">
        <w:rPr>
          <w:rStyle w:val="CommentReference"/>
        </w:rPr>
        <w:commentReference w:id="6"/>
      </w:r>
    </w:p>
    <w:p w14:paraId="04C298C5" w14:textId="77777777" w:rsidR="001F0010" w:rsidRPr="001F0010" w:rsidRDefault="001F0010" w:rsidP="001F0010">
      <w:pPr>
        <w:tabs>
          <w:tab w:val="left" w:pos="1640"/>
        </w:tabs>
        <w:jc w:val="both"/>
        <w:rPr>
          <w:rFonts w:eastAsia="Calibri" w:cs="Arial"/>
          <w:sz w:val="24"/>
          <w:szCs w:val="24"/>
        </w:rPr>
      </w:pPr>
    </w:p>
    <w:p w14:paraId="386B61AF" w14:textId="77777777" w:rsidR="001F0010" w:rsidRPr="001F0010" w:rsidRDefault="001F0010" w:rsidP="001F0010">
      <w:pPr>
        <w:tabs>
          <w:tab w:val="left" w:pos="1640"/>
        </w:tabs>
        <w:jc w:val="both"/>
        <w:rPr>
          <w:rFonts w:eastAsia="Calibri" w:cs="Arial"/>
          <w:b/>
          <w:bCs/>
          <w:color w:val="000000" w:themeColor="text1"/>
          <w:sz w:val="24"/>
          <w:szCs w:val="24"/>
        </w:rPr>
      </w:pPr>
      <w:r w:rsidRPr="001F0010">
        <w:rPr>
          <w:rFonts w:eastAsia="Calibri" w:cs="Arial"/>
          <w:b/>
          <w:bCs/>
          <w:color w:val="000000" w:themeColor="text1"/>
          <w:sz w:val="24"/>
          <w:szCs w:val="24"/>
        </w:rPr>
        <w:t>III. Procedures for General Education</w:t>
      </w:r>
    </w:p>
    <w:p w14:paraId="0A8F3F2F" w14:textId="77777777" w:rsidR="001F0010" w:rsidRPr="001F0010" w:rsidRDefault="001F0010" w:rsidP="001F0010">
      <w:pPr>
        <w:tabs>
          <w:tab w:val="left" w:pos="1640"/>
        </w:tabs>
        <w:jc w:val="both"/>
        <w:rPr>
          <w:rFonts w:eastAsia="Calibri" w:cs="Arial"/>
          <w:color w:val="000000" w:themeColor="text1"/>
          <w:sz w:val="24"/>
          <w:szCs w:val="24"/>
        </w:rPr>
      </w:pPr>
    </w:p>
    <w:p w14:paraId="3477A1ED" w14:textId="77777777" w:rsidR="001F0010" w:rsidRPr="001F0010" w:rsidRDefault="001F0010" w:rsidP="001F0010">
      <w:pPr>
        <w:tabs>
          <w:tab w:val="left" w:pos="1640"/>
        </w:tabs>
        <w:jc w:val="both"/>
        <w:rPr>
          <w:rFonts w:eastAsia="Calibri" w:cs="Arial"/>
          <w:color w:val="000000" w:themeColor="text1"/>
          <w:sz w:val="24"/>
          <w:szCs w:val="24"/>
        </w:rPr>
      </w:pPr>
      <w:commentRangeStart w:id="7"/>
      <w:r w:rsidRPr="001F0010">
        <w:rPr>
          <w:rFonts w:eastAsia="Calibri" w:cs="Arial"/>
          <w:color w:val="000000" w:themeColor="text1"/>
          <w:sz w:val="24"/>
          <w:szCs w:val="24"/>
        </w:rPr>
        <w:t>Procedures to determine which courses implement this philosophy of general education are developed by the Academic Senate through the Curriculum Committee and are documented in the Curriculum Handbook and in the records of the Academic Senate.  The specific courses approved for General Education through the curriculum process are published in the NVC catalog and updated yearly.</w:t>
      </w:r>
    </w:p>
    <w:p w14:paraId="6C8BCF3F" w14:textId="77777777" w:rsidR="001F0010" w:rsidRPr="001F0010" w:rsidRDefault="001F0010" w:rsidP="001F0010">
      <w:pPr>
        <w:tabs>
          <w:tab w:val="left" w:pos="1640"/>
        </w:tabs>
        <w:jc w:val="both"/>
        <w:rPr>
          <w:rFonts w:eastAsia="Calibri" w:cs="Arial"/>
          <w:color w:val="000000" w:themeColor="text1"/>
          <w:sz w:val="24"/>
          <w:szCs w:val="24"/>
        </w:rPr>
      </w:pPr>
    </w:p>
    <w:p w14:paraId="4A9A8F09" w14:textId="77777777" w:rsidR="001F0010" w:rsidRDefault="001F0010" w:rsidP="001F0010">
      <w:pPr>
        <w:tabs>
          <w:tab w:val="left" w:pos="1640"/>
        </w:tabs>
        <w:jc w:val="both"/>
        <w:rPr>
          <w:rFonts w:eastAsia="Calibri" w:cs="Arial"/>
          <w:color w:val="000000" w:themeColor="text1"/>
          <w:sz w:val="24"/>
          <w:szCs w:val="24"/>
        </w:rPr>
      </w:pPr>
      <w:r w:rsidRPr="001F0010">
        <w:rPr>
          <w:rFonts w:eastAsia="Calibri" w:cs="Arial"/>
          <w:color w:val="000000" w:themeColor="text1"/>
          <w:sz w:val="24"/>
          <w:szCs w:val="24"/>
        </w:rPr>
        <w:lastRenderedPageBreak/>
        <w:t xml:space="preserve">Students awarded an Associate Degree for Transfer (AA-T or AS-T), complete either the CSU-GE or IGETC patterns, consistent with intersegmental agreements between the California Community Colleges and the California State University and University of California Systems. These general education patterns include additional requirements and a different distribution among GE </w:t>
      </w:r>
      <w:proofErr w:type="gramStart"/>
      <w:r w:rsidRPr="001F0010">
        <w:rPr>
          <w:rFonts w:eastAsia="Calibri" w:cs="Arial"/>
          <w:color w:val="000000" w:themeColor="text1"/>
          <w:sz w:val="24"/>
          <w:szCs w:val="24"/>
        </w:rPr>
        <w:t>categories, but</w:t>
      </w:r>
      <w:proofErr w:type="gramEnd"/>
      <w:r w:rsidRPr="001F0010">
        <w:rPr>
          <w:rFonts w:eastAsia="Calibri" w:cs="Arial"/>
          <w:color w:val="000000" w:themeColor="text1"/>
          <w:sz w:val="24"/>
          <w:szCs w:val="24"/>
        </w:rPr>
        <w:t xml:space="preserve"> meet the minimum requirements for General Education set forth in Title 5 and are consistent with the NVC Philosophy of General Education. The procedures to determine placement in the CSU-GE and IGETC patterns are developed and maintained by the Curriculum Committee and documented in the Curriculum Handbook and records of the Academic Senate.</w:t>
      </w:r>
      <w:commentRangeEnd w:id="7"/>
      <w:r w:rsidR="00104241">
        <w:rPr>
          <w:rStyle w:val="CommentReference"/>
        </w:rPr>
        <w:commentReference w:id="7"/>
      </w:r>
    </w:p>
    <w:p w14:paraId="19CD59D9" w14:textId="77777777" w:rsidR="00397221" w:rsidRPr="001F0010" w:rsidRDefault="00477960" w:rsidP="001F0010"/>
    <w:sectPr w:rsidR="00397221" w:rsidRPr="001F0010" w:rsidSect="00844EC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eth Anderson" w:date="2022-03-28T17:35:00Z" w:initials="SA">
    <w:p w14:paraId="0A229249" w14:textId="390FDC1C" w:rsidR="003876B9" w:rsidRDefault="003876B9">
      <w:pPr>
        <w:pStyle w:val="CommentText"/>
      </w:pPr>
      <w:r>
        <w:rPr>
          <w:rStyle w:val="CommentReference"/>
        </w:rPr>
        <w:annotationRef/>
      </w:r>
      <w:r>
        <w:t>This is the part of Title 5 that defines GE criteria in the California Community Colleges.</w:t>
      </w:r>
    </w:p>
  </w:comment>
  <w:comment w:id="1" w:author="Seth Anderson" w:date="2022-03-28T16:42:00Z" w:initials="SA">
    <w:p w14:paraId="01FCCBD1" w14:textId="649D4AB6" w:rsidR="005A44D7" w:rsidRDefault="005A44D7">
      <w:pPr>
        <w:pStyle w:val="CommentText"/>
      </w:pPr>
      <w:r>
        <w:rPr>
          <w:rStyle w:val="CommentReference"/>
        </w:rPr>
        <w:annotationRef/>
      </w:r>
      <w:r>
        <w:t xml:space="preserve">This language is verbatim from </w:t>
      </w:r>
      <w:hyperlink r:id="rId1" w:history="1">
        <w:r w:rsidRPr="00417C88">
          <w:rPr>
            <w:rStyle w:val="Hyperlink"/>
          </w:rPr>
          <w:t>Title 5 section 55061(a)</w:t>
        </w:r>
      </w:hyperlink>
      <w:r>
        <w:t xml:space="preserve"> but just placed in bullet point format. </w:t>
      </w:r>
      <w:r>
        <w:t xml:space="preserve">Although NVC’s </w:t>
      </w:r>
      <w:hyperlink r:id="rId2" w:history="1">
        <w:r w:rsidRPr="00592F42">
          <w:rPr>
            <w:rStyle w:val="Hyperlink"/>
          </w:rPr>
          <w:t>ILOs</w:t>
        </w:r>
      </w:hyperlink>
      <w:r>
        <w:t xml:space="preserve"> are </w:t>
      </w:r>
      <w:r w:rsidR="00477960">
        <w:t xml:space="preserve">also </w:t>
      </w:r>
      <w:r>
        <w:t>closely modeled on this, we should probably follow the lead of Title 5.</w:t>
      </w:r>
    </w:p>
  </w:comment>
  <w:comment w:id="2" w:author="Seth Anderson" w:date="2022-03-28T16:51:00Z" w:initials="SA">
    <w:p w14:paraId="2FC5C247" w14:textId="64D8B5F4" w:rsidR="00417C88" w:rsidRDefault="00417C88">
      <w:pPr>
        <w:pStyle w:val="CommentText"/>
      </w:pPr>
      <w:r>
        <w:rPr>
          <w:rStyle w:val="CommentReference"/>
        </w:rPr>
        <w:annotationRef/>
      </w:r>
      <w:r>
        <w:t xml:space="preserve">This is based on the recommendations of PCAH and </w:t>
      </w:r>
      <w:hyperlink r:id="rId3" w:history="1">
        <w:r w:rsidRPr="00592F42">
          <w:rPr>
            <w:rStyle w:val="Hyperlink"/>
          </w:rPr>
          <w:t>ASCCC Resolution 9.06</w:t>
        </w:r>
      </w:hyperlink>
      <w:r>
        <w:t xml:space="preserve"> (Spring 2008)</w:t>
      </w:r>
      <w:r w:rsidR="00477960">
        <w:t>.</w:t>
      </w:r>
    </w:p>
  </w:comment>
  <w:comment w:id="3" w:author="Seth Anderson" w:date="2022-03-28T17:00:00Z" w:initials="SA">
    <w:p w14:paraId="63246674" w14:textId="558B9230" w:rsidR="00A041B8" w:rsidRDefault="00A041B8">
      <w:pPr>
        <w:pStyle w:val="CommentText"/>
      </w:pPr>
      <w:r>
        <w:rPr>
          <w:rStyle w:val="CommentReference"/>
        </w:rPr>
        <w:annotationRef/>
      </w:r>
      <w:r>
        <w:t>This statement is a legal requirement and based on the CCLC template with more specific details relevant to NVC.</w:t>
      </w:r>
    </w:p>
  </w:comment>
  <w:comment w:id="4" w:author="Seth Anderson" w:date="2022-03-28T17:41:00Z" w:initials="SA">
    <w:p w14:paraId="4DAE2C6A" w14:textId="303D91A1" w:rsidR="008F4ED0" w:rsidRPr="008F4ED0" w:rsidRDefault="008F4ED0" w:rsidP="008F4ED0">
      <w:pPr>
        <w:overflowPunct/>
        <w:autoSpaceDE/>
        <w:autoSpaceDN/>
        <w:adjustRightInd/>
        <w:textAlignment w:val="auto"/>
        <w:rPr>
          <w:rFonts w:ascii="Times New Roman" w:hAnsi="Times New Roman"/>
          <w:sz w:val="24"/>
          <w:szCs w:val="24"/>
        </w:rPr>
      </w:pPr>
      <w:r>
        <w:rPr>
          <w:rStyle w:val="CommentReference"/>
        </w:rPr>
        <w:annotationRef/>
      </w:r>
      <w:r>
        <w:t xml:space="preserve">NVC’s current General Education Statement of Philosophy, documented in BP 4025 and the college catalog, reads as follows: </w:t>
      </w:r>
      <w:r>
        <w:rPr>
          <w:rFonts w:ascii="Verdana" w:hAnsi="Verdana"/>
          <w:color w:val="333333"/>
          <w:sz w:val="17"/>
          <w:szCs w:val="17"/>
          <w:shd w:val="clear" w:color="auto" w:fill="FFFFFF"/>
        </w:rPr>
        <w:t>“G</w:t>
      </w:r>
      <w:r w:rsidRPr="008F4ED0">
        <w:rPr>
          <w:rFonts w:ascii="Verdana" w:hAnsi="Verdana"/>
          <w:color w:val="333333"/>
          <w:sz w:val="17"/>
          <w:szCs w:val="17"/>
          <w:shd w:val="clear" w:color="auto" w:fill="FFFFFF"/>
        </w:rPr>
        <w:t>eneral education, an integrated program of courses, is the foundation of the Associate Degree. General education courses introduce students to the achievements, the methods of inquiry and the major principles and concepts in the humanities, the social sciences, mathematics, and the natural sciences. Graduates possess in common a foundation of knowledge for understanding their physical environment, culture and society and the skills of inquiry, reflection, and expression for personal growth and lifelong learning</w:t>
      </w:r>
      <w:r>
        <w:rPr>
          <w:rFonts w:ascii="Verdana" w:hAnsi="Verdana"/>
          <w:color w:val="333333"/>
          <w:sz w:val="17"/>
          <w:szCs w:val="17"/>
          <w:shd w:val="clear" w:color="auto" w:fill="FFFFFF"/>
        </w:rPr>
        <w:t>.”</w:t>
      </w:r>
    </w:p>
  </w:comment>
  <w:comment w:id="5" w:author="Seth Anderson" w:date="2022-03-28T21:56:00Z" w:initials="SA">
    <w:p w14:paraId="59E32A2C" w14:textId="62ED225B" w:rsidR="00EF33BD" w:rsidRDefault="00EF33BD">
      <w:pPr>
        <w:pStyle w:val="CommentText"/>
      </w:pPr>
      <w:r>
        <w:rPr>
          <w:rStyle w:val="CommentReference"/>
        </w:rPr>
        <w:annotationRef/>
      </w:r>
      <w:r>
        <w:t xml:space="preserve">This language is taken verbatim from the most recent revision to </w:t>
      </w:r>
      <w:hyperlink r:id="rId4" w:history="1">
        <w:r w:rsidRPr="00EF33BD">
          <w:rPr>
            <w:rStyle w:val="Hyperlink"/>
          </w:rPr>
          <w:t>Title 5 section 55063</w:t>
        </w:r>
      </w:hyperlink>
      <w:r>
        <w:t xml:space="preserve"> with section headings inserted</w:t>
      </w:r>
      <w:r w:rsidR="00CF61AC">
        <w:t xml:space="preserve">. </w:t>
      </w:r>
      <w:hyperlink r:id="rId5" w:history="1">
        <w:r w:rsidR="00CF61AC" w:rsidRPr="00477960">
          <w:rPr>
            <w:rStyle w:val="Hyperlink"/>
          </w:rPr>
          <w:t>Current GE criteria</w:t>
        </w:r>
      </w:hyperlink>
      <w:r w:rsidR="00CF61AC">
        <w:t>, as listed in the college catalog, are also identical</w:t>
      </w:r>
      <w:r w:rsidR="000D2661">
        <w:t xml:space="preserve"> to this</w:t>
      </w:r>
      <w:r w:rsidR="00CF61AC">
        <w:t>, except that GE Area</w:t>
      </w:r>
      <w:r w:rsidR="000D2661">
        <w:t xml:space="preserve"> E has been made a graduation requirement and moved to AP 4100 to comply with new regulations on double counting.</w:t>
      </w:r>
      <w:r w:rsidR="00CF61AC">
        <w:t xml:space="preserve"> </w:t>
      </w:r>
    </w:p>
    <w:p w14:paraId="17E0F92C" w14:textId="216C7C24" w:rsidR="00CF61AC" w:rsidRDefault="00CF61AC">
      <w:pPr>
        <w:pStyle w:val="CommentText"/>
      </w:pPr>
    </w:p>
  </w:comment>
  <w:comment w:id="6" w:author="Seth Anderson" w:date="2022-03-28T17:48:00Z" w:initials="SA">
    <w:p w14:paraId="131D3562" w14:textId="75CFAB70" w:rsidR="00104241" w:rsidRDefault="00104241">
      <w:pPr>
        <w:pStyle w:val="CommentText"/>
      </w:pPr>
      <w:r>
        <w:rPr>
          <w:rStyle w:val="CommentReference"/>
        </w:rPr>
        <w:annotationRef/>
      </w:r>
      <w:r>
        <w:t>The Senate Ethnic Studies Taskforce has recommended this language to remind readers of the relationship between AP 4025 and AP 4100.</w:t>
      </w:r>
    </w:p>
  </w:comment>
  <w:comment w:id="7" w:author="Seth Anderson" w:date="2022-03-28T17:46:00Z" w:initials="SA">
    <w:p w14:paraId="68619B5A" w14:textId="5A694231" w:rsidR="00104241" w:rsidRDefault="00104241">
      <w:pPr>
        <w:pStyle w:val="CommentText"/>
      </w:pPr>
      <w:r>
        <w:rPr>
          <w:rStyle w:val="CommentReference"/>
        </w:rPr>
        <w:annotationRef/>
      </w:r>
      <w:r>
        <w:t>This language is modeled on the recommended language of the CCLC template with more specific details relevant to NVC.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A229249" w15:done="0"/>
  <w15:commentEx w15:paraId="01FCCBD1" w15:done="0"/>
  <w15:commentEx w15:paraId="2FC5C247" w15:done="0"/>
  <w15:commentEx w15:paraId="63246674" w15:done="0"/>
  <w15:commentEx w15:paraId="4DAE2C6A" w15:done="0"/>
  <w15:commentEx w15:paraId="17E0F92C" w15:done="0"/>
  <w15:commentEx w15:paraId="131D3562" w15:done="0"/>
  <w15:commentEx w15:paraId="68619B5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C7071" w16cex:dateUtc="2022-03-29T00:35:00Z"/>
  <w16cex:commentExtensible w16cex:durableId="25EC640D" w16cex:dateUtc="2022-03-28T23:42:00Z"/>
  <w16cex:commentExtensible w16cex:durableId="25EC6622" w16cex:dateUtc="2022-03-28T23:51:00Z"/>
  <w16cex:commentExtensible w16cex:durableId="25EC6824" w16cex:dateUtc="2022-03-29T00:00:00Z"/>
  <w16cex:commentExtensible w16cex:durableId="25EC71E2" w16cex:dateUtc="2022-03-29T00:41:00Z"/>
  <w16cex:commentExtensible w16cex:durableId="25ECAD84" w16cex:dateUtc="2022-03-29T04:56:00Z"/>
  <w16cex:commentExtensible w16cex:durableId="25EC7358" w16cex:dateUtc="2022-03-29T00:48:00Z"/>
  <w16cex:commentExtensible w16cex:durableId="25EC72EB" w16cex:dateUtc="2022-03-29T00: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229249" w16cid:durableId="25EC7071"/>
  <w16cid:commentId w16cid:paraId="01FCCBD1" w16cid:durableId="25EC640D"/>
  <w16cid:commentId w16cid:paraId="2FC5C247" w16cid:durableId="25EC6622"/>
  <w16cid:commentId w16cid:paraId="63246674" w16cid:durableId="25EC6824"/>
  <w16cid:commentId w16cid:paraId="4DAE2C6A" w16cid:durableId="25EC71E2"/>
  <w16cid:commentId w16cid:paraId="17E0F92C" w16cid:durableId="25ECAD84"/>
  <w16cid:commentId w16cid:paraId="131D3562" w16cid:durableId="25EC7358"/>
  <w16cid:commentId w16cid:paraId="68619B5A" w16cid:durableId="25EC72E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604020202020204"/>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95F72"/>
    <w:multiLevelType w:val="multilevel"/>
    <w:tmpl w:val="A9CA203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722375C0"/>
    <w:multiLevelType w:val="multilevel"/>
    <w:tmpl w:val="4A1A53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eth Anderson">
    <w15:presenceInfo w15:providerId="AD" w15:userId="S::sethe.anderson@napavalley.edu::12412ba6-c46b-4b1e-93cb-645f166ae7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010"/>
    <w:rsid w:val="000D2661"/>
    <w:rsid w:val="00104241"/>
    <w:rsid w:val="001F0010"/>
    <w:rsid w:val="003876B9"/>
    <w:rsid w:val="00417C88"/>
    <w:rsid w:val="00477960"/>
    <w:rsid w:val="00592F42"/>
    <w:rsid w:val="005A44D7"/>
    <w:rsid w:val="006A3E3F"/>
    <w:rsid w:val="00844EC7"/>
    <w:rsid w:val="008F4ED0"/>
    <w:rsid w:val="009E51A2"/>
    <w:rsid w:val="00A041B8"/>
    <w:rsid w:val="00A3534D"/>
    <w:rsid w:val="00C131CE"/>
    <w:rsid w:val="00CF61AC"/>
    <w:rsid w:val="00EF3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B14D66"/>
  <w14:defaultImageDpi w14:val="32767"/>
  <w15:chartTrackingRefBased/>
  <w15:docId w15:val="{67F7671A-43DF-8246-AEF4-81284FA33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F0010"/>
    <w:pPr>
      <w:overflowPunct w:val="0"/>
      <w:autoSpaceDE w:val="0"/>
      <w:autoSpaceDN w:val="0"/>
      <w:adjustRightInd w:val="0"/>
      <w:textAlignment w:val="baseline"/>
    </w:pPr>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locked/>
    <w:rsid w:val="001F0010"/>
    <w:rPr>
      <w:rFonts w:ascii="Arial" w:hAnsi="Arial" w:cs="Arial"/>
    </w:rPr>
  </w:style>
  <w:style w:type="paragraph" w:styleId="BodyText">
    <w:name w:val="Body Text"/>
    <w:basedOn w:val="Normal"/>
    <w:link w:val="BodyTextChar"/>
    <w:rsid w:val="001F0010"/>
    <w:pPr>
      <w:overflowPunct/>
      <w:autoSpaceDE/>
      <w:autoSpaceDN/>
      <w:adjustRightInd/>
      <w:spacing w:after="120"/>
      <w:textAlignment w:val="auto"/>
    </w:pPr>
    <w:rPr>
      <w:rFonts w:eastAsiaTheme="minorHAnsi" w:cs="Arial"/>
      <w:sz w:val="24"/>
      <w:szCs w:val="24"/>
    </w:rPr>
  </w:style>
  <w:style w:type="character" w:customStyle="1" w:styleId="BodyTextChar1">
    <w:name w:val="Body Text Char1"/>
    <w:basedOn w:val="DefaultParagraphFont"/>
    <w:uiPriority w:val="99"/>
    <w:semiHidden/>
    <w:rsid w:val="001F0010"/>
    <w:rPr>
      <w:rFonts w:ascii="Arial" w:eastAsia="Times New Roman" w:hAnsi="Arial" w:cs="Times New Roman"/>
      <w:sz w:val="20"/>
      <w:szCs w:val="20"/>
    </w:rPr>
  </w:style>
  <w:style w:type="paragraph" w:styleId="BodyText2">
    <w:name w:val="Body Text 2"/>
    <w:basedOn w:val="Normal"/>
    <w:link w:val="BodyText2Char"/>
    <w:unhideWhenUsed/>
    <w:rsid w:val="001F0010"/>
    <w:pPr>
      <w:overflowPunct/>
      <w:autoSpaceDE/>
      <w:autoSpaceDN/>
      <w:adjustRightInd/>
      <w:spacing w:after="120" w:line="480" w:lineRule="auto"/>
      <w:textAlignment w:val="auto"/>
    </w:pPr>
    <w:rPr>
      <w:rFonts w:ascii="Times New Roman" w:hAnsi="Times New Roman"/>
      <w:sz w:val="24"/>
      <w:szCs w:val="24"/>
    </w:rPr>
  </w:style>
  <w:style w:type="character" w:customStyle="1" w:styleId="BodyText2Char">
    <w:name w:val="Body Text 2 Char"/>
    <w:basedOn w:val="DefaultParagraphFont"/>
    <w:link w:val="BodyText2"/>
    <w:rsid w:val="001F0010"/>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A44D7"/>
    <w:rPr>
      <w:sz w:val="16"/>
      <w:szCs w:val="16"/>
    </w:rPr>
  </w:style>
  <w:style w:type="paragraph" w:styleId="CommentText">
    <w:name w:val="annotation text"/>
    <w:basedOn w:val="Normal"/>
    <w:link w:val="CommentTextChar"/>
    <w:uiPriority w:val="99"/>
    <w:semiHidden/>
    <w:unhideWhenUsed/>
    <w:rsid w:val="005A44D7"/>
  </w:style>
  <w:style w:type="character" w:customStyle="1" w:styleId="CommentTextChar">
    <w:name w:val="Comment Text Char"/>
    <w:basedOn w:val="DefaultParagraphFont"/>
    <w:link w:val="CommentText"/>
    <w:uiPriority w:val="99"/>
    <w:semiHidden/>
    <w:rsid w:val="005A44D7"/>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5A44D7"/>
    <w:rPr>
      <w:b/>
      <w:bCs/>
    </w:rPr>
  </w:style>
  <w:style w:type="character" w:customStyle="1" w:styleId="CommentSubjectChar">
    <w:name w:val="Comment Subject Char"/>
    <w:basedOn w:val="CommentTextChar"/>
    <w:link w:val="CommentSubject"/>
    <w:uiPriority w:val="99"/>
    <w:semiHidden/>
    <w:rsid w:val="005A44D7"/>
    <w:rPr>
      <w:rFonts w:ascii="Arial" w:eastAsia="Times New Roman" w:hAnsi="Arial" w:cs="Times New Roman"/>
      <w:b/>
      <w:bCs/>
      <w:sz w:val="20"/>
      <w:szCs w:val="20"/>
    </w:rPr>
  </w:style>
  <w:style w:type="character" w:styleId="Hyperlink">
    <w:name w:val="Hyperlink"/>
    <w:basedOn w:val="DefaultParagraphFont"/>
    <w:uiPriority w:val="99"/>
    <w:unhideWhenUsed/>
    <w:rsid w:val="00417C88"/>
    <w:rPr>
      <w:color w:val="0563C1" w:themeColor="hyperlink"/>
      <w:u w:val="single"/>
    </w:rPr>
  </w:style>
  <w:style w:type="character" w:styleId="UnresolvedMention">
    <w:name w:val="Unresolved Mention"/>
    <w:basedOn w:val="DefaultParagraphFont"/>
    <w:uiPriority w:val="99"/>
    <w:rsid w:val="00417C88"/>
    <w:rPr>
      <w:color w:val="605E5C"/>
      <w:shd w:val="clear" w:color="auto" w:fill="E1DFDD"/>
    </w:rPr>
  </w:style>
  <w:style w:type="paragraph" w:styleId="Revision">
    <w:name w:val="Revision"/>
    <w:hidden/>
    <w:uiPriority w:val="99"/>
    <w:semiHidden/>
    <w:rsid w:val="00CF61AC"/>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535811">
      <w:bodyDiv w:val="1"/>
      <w:marLeft w:val="0"/>
      <w:marRight w:val="0"/>
      <w:marTop w:val="0"/>
      <w:marBottom w:val="0"/>
      <w:divBdr>
        <w:top w:val="none" w:sz="0" w:space="0" w:color="auto"/>
        <w:left w:val="none" w:sz="0" w:space="0" w:color="auto"/>
        <w:bottom w:val="none" w:sz="0" w:space="0" w:color="auto"/>
        <w:right w:val="none" w:sz="0" w:space="0" w:color="auto"/>
      </w:divBdr>
    </w:div>
    <w:div w:id="128450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asccc.org/resolutions/defining-associate-arts-and-associate-science-degrees" TargetMode="External"/><Relationship Id="rId2" Type="http://schemas.openxmlformats.org/officeDocument/2006/relationships/hyperlink" Target="https://www.napavalley.edu/AboutNVC/Planning/Pages/NapaValleyCollegeMission,ValuesandSLOs.aspx" TargetMode="External"/><Relationship Id="rId1" Type="http://schemas.openxmlformats.org/officeDocument/2006/relationships/hyperlink" Target="https://govt.westlaw.com/calregs/Document/IBDBFD190D48411DEBC02831C6D6C108E?viewType=FullText&amp;originationContext=documenttoc&amp;transitionType=CategoryPageItem&amp;contextData=(sc.Default)&amp;bhcp=1" TargetMode="External"/><Relationship Id="rId5" Type="http://schemas.openxmlformats.org/officeDocument/2006/relationships/hyperlink" Target="http://catalog.napavalley.edu/getting-your-degree/general-education/" TargetMode="External"/><Relationship Id="rId4" Type="http://schemas.openxmlformats.org/officeDocument/2006/relationships/hyperlink" Target="https://www.cccco.edu/-/media/CCCCO-Website/Office-of-General-Counsel/revisions-to-title-5-55063-a11y-1-F.pdf?la=en&amp;hash=11AD1AE4BB269D51C8F3545B1ED1D07476B5FBE0" TargetMode="External"/></Relationship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openxmlformats.org/officeDocument/2006/relationships/customXml" Target="../customXml/item2.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C03328D1541E4AABB11496E61DE585" ma:contentTypeVersion="1" ma:contentTypeDescription="Create a new document." ma:contentTypeScope="" ma:versionID="d8222389a16488c90c886607cf5f3d02">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0B096DA-42D7-4463-AD3D-BE46885C6675}"/>
</file>

<file path=customXml/itemProps2.xml><?xml version="1.0" encoding="utf-8"?>
<ds:datastoreItem xmlns:ds="http://schemas.openxmlformats.org/officeDocument/2006/customXml" ds:itemID="{78A0A423-9783-49E5-8CF4-1B4F3EE254D0}"/>
</file>

<file path=customXml/itemProps3.xml><?xml version="1.0" encoding="utf-8"?>
<ds:datastoreItem xmlns:ds="http://schemas.openxmlformats.org/officeDocument/2006/customXml" ds:itemID="{139AC19B-E708-46BB-B816-61F596B0C948}"/>
</file>

<file path=docProps/app.xml><?xml version="1.0" encoding="utf-8"?>
<Properties xmlns="http://schemas.openxmlformats.org/officeDocument/2006/extended-properties" xmlns:vt="http://schemas.openxmlformats.org/officeDocument/2006/docPropsVTypes">
  <Template>Normal.dotm</Template>
  <TotalTime>50</TotalTime>
  <Pages>4</Pages>
  <Words>1229</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Seth Anderson</dc:creator>
  <cp:keywords/>
  <dc:description/>
  <cp:lastModifiedBy>Seth Anderson</cp:lastModifiedBy>
  <cp:revision>4</cp:revision>
  <dcterms:created xsi:type="dcterms:W3CDTF">2022-03-28T23:22:00Z</dcterms:created>
  <dcterms:modified xsi:type="dcterms:W3CDTF">2022-03-29T14:13:00Z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0x01010048C03328D1541E4AABB11496E61DE585</vt:lpwstr>
  </property>
</Properties>
</file>